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326310">
        <w:rPr>
          <w:rFonts w:ascii="Avenir LT Std 55 Roman" w:hAnsi="Avenir LT Std 55 Roman"/>
          <w:b/>
          <w:noProof/>
          <w:color w:val="000000" w:themeColor="text1"/>
          <w:sz w:val="32"/>
          <w:szCs w:val="32"/>
          <w:lang w:eastAsia="es-MX"/>
        </w:rPr>
        <w:t>10/75733/2018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F77FBE"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DE 24 000 KG DE POLIMERO CATIONICO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326310">
        <w:rPr>
          <w:rFonts w:ascii="Avenir LT Std 55 Roman" w:hAnsi="Avenir LT Std 55 Roman"/>
          <w:noProof/>
          <w:color w:val="000000" w:themeColor="text1"/>
          <w:sz w:val="20"/>
          <w:lang w:eastAsia="es-MX"/>
        </w:rPr>
        <w:t>10/75733/2018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SUMINISTRO DE 24 000 KG DE POLIMERO CATIONICO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26310" w:rsidRPr="009D39B2" w:rsidRDefault="00326310"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 xml:space="preserve">Resultado de prueba de jarras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10:30 hrs del día 14 de Marzo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326310">
        <w:rPr>
          <w:rFonts w:ascii="Avenir LT Std 55 Roman" w:hAnsi="Avenir LT Std 55 Roman"/>
          <w:noProof/>
          <w:color w:val="000000" w:themeColor="text1"/>
          <w:sz w:val="20"/>
          <w:lang w:eastAsia="es-MX"/>
        </w:rPr>
        <w:t>13 de Marzo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326310">
        <w:rPr>
          <w:rFonts w:ascii="Avenir LT Std 55 Roman" w:hAnsi="Avenir LT Std 55 Roman"/>
          <w:noProof/>
          <w:color w:val="000000" w:themeColor="text1"/>
          <w:sz w:val="20"/>
          <w:lang w:eastAsia="es-MX"/>
        </w:rPr>
        <w:t>09:2</w:t>
      </w:r>
      <w:r w:rsidR="007803B0" w:rsidRPr="00B36E17">
        <w:rPr>
          <w:rFonts w:ascii="Avenir LT Std 55 Roman" w:hAnsi="Avenir LT Std 55 Roman"/>
          <w:noProof/>
          <w:color w:val="000000" w:themeColor="text1"/>
          <w:sz w:val="20"/>
          <w:lang w:eastAsia="es-MX"/>
        </w:rPr>
        <w:t xml:space="preserve">0 </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752E53">
        <w:rPr>
          <w:rFonts w:ascii="Avenir LT Std 55 Roman" w:hAnsi="Avenir LT Std 55 Roman"/>
          <w:noProof/>
          <w:color w:val="000000" w:themeColor="text1"/>
          <w:sz w:val="20"/>
          <w:lang w:eastAsia="es-MX"/>
        </w:rPr>
        <w:t>1</w:t>
      </w:r>
      <w:r w:rsidR="00326310">
        <w:rPr>
          <w:rFonts w:ascii="Avenir LT Std 55 Roman" w:hAnsi="Avenir LT Std 55 Roman"/>
          <w:noProof/>
          <w:color w:val="000000" w:themeColor="text1"/>
          <w:sz w:val="20"/>
          <w:lang w:eastAsia="es-MX"/>
        </w:rPr>
        <w:t xml:space="preserve"> de Marzo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w:t>
      </w:r>
      <w:bookmarkStart w:id="0" w:name="_GoBack"/>
      <w:bookmarkEnd w:id="0"/>
      <w:r w:rsidRPr="009D39B2">
        <w:rPr>
          <w:rFonts w:ascii="Avenir LT Std 55 Roman" w:hAnsi="Avenir LT Std 55 Roman"/>
          <w:noProof/>
          <w:sz w:val="20"/>
          <w:lang w:eastAsia="es-MX"/>
        </w:rPr>
        <w:t xml:space="preserve">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326310">
        <w:rPr>
          <w:rFonts w:ascii="Avenir LT Std 55 Roman" w:hAnsi="Avenir LT Std 55 Roman"/>
          <w:noProof/>
          <w:color w:val="000000" w:themeColor="text1"/>
          <w:sz w:val="20"/>
          <w:lang w:eastAsia="es-MX"/>
        </w:rPr>
        <w:t>09:2</w:t>
      </w:r>
      <w:r w:rsidR="007803B0" w:rsidRPr="00B36E17">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752E53">
        <w:rPr>
          <w:rFonts w:ascii="Avenir LT Std 55 Roman" w:hAnsi="Avenir LT Std 55 Roman"/>
          <w:noProof/>
          <w:color w:val="000000" w:themeColor="text1"/>
          <w:sz w:val="20"/>
          <w:lang w:eastAsia="es-MX"/>
        </w:rPr>
        <w:t>2</w:t>
      </w:r>
      <w:r w:rsidR="00326310">
        <w:rPr>
          <w:rFonts w:ascii="Avenir LT Std 55 Roman" w:hAnsi="Avenir LT Std 55 Roman"/>
          <w:noProof/>
          <w:color w:val="000000" w:themeColor="text1"/>
          <w:sz w:val="20"/>
          <w:lang w:eastAsia="es-MX"/>
        </w:rPr>
        <w:t xml:space="preserve"> de Marzo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Default="003647CC"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a un solo Proveedor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9D39B2">
        <w:rPr>
          <w:rFonts w:ascii="Avenir LT Std 55 Roman" w:hAnsi="Avenir LT Std 55 Roman"/>
          <w:sz w:val="20"/>
          <w:szCs w:val="20"/>
        </w:rPr>
        <w:lastRenderedPageBreak/>
        <w:t>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CA196B">
        <w:rPr>
          <w:rFonts w:ascii="Avenir LT Std 55 Roman" w:hAnsi="Avenir LT Std 55 Roman" w:cs="Tahoma"/>
          <w:color w:val="000000" w:themeColor="text1"/>
          <w:sz w:val="20"/>
        </w:rPr>
        <w:t xml:space="preserve">oficinas del Almacén General de “SEAPAL VALLARTA”, ubicado en </w:t>
      </w:r>
      <w:r w:rsidR="007803B0" w:rsidRPr="00CA196B">
        <w:rPr>
          <w:rFonts w:ascii="Avenir LT Std 55 Roman" w:hAnsi="Avenir LT Std 55 Roman" w:cs="Tahoma"/>
          <w:b/>
          <w:color w:val="000000" w:themeColor="text1"/>
          <w:sz w:val="20"/>
        </w:rPr>
        <w:t>La Planta de Tratamiento Norte II, ubicada en Paseo de la Industria # 158 Distrito Industrial, Col. Las Juntas,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contratos celebrados podrán rescindirse administrativamente en caso de incumplimiento por parte de los proveedores, previa aplicación de las penas convencionales correspondientes hasta </w:t>
      </w:r>
      <w:r w:rsidRPr="009D39B2">
        <w:rPr>
          <w:rFonts w:ascii="Avenir LT Std 55 Roman" w:hAnsi="Avenir LT Std 55 Roman"/>
          <w:sz w:val="20"/>
          <w:szCs w:val="20"/>
        </w:rPr>
        <w:lastRenderedPageBreak/>
        <w:t>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w:t>
      </w:r>
      <w:r w:rsidRPr="009D39B2">
        <w:rPr>
          <w:rFonts w:ascii="Avenir LT Std 55 Roman" w:hAnsi="Avenir LT Std 55 Roman"/>
          <w:noProof/>
          <w:sz w:val="20"/>
          <w:lang w:eastAsia="es-MX"/>
        </w:rPr>
        <w:lastRenderedPageBreak/>
        <w:t>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w:t>
      </w:r>
      <w:r w:rsidRPr="009D39B2">
        <w:rPr>
          <w:rFonts w:ascii="Avenir LT Std 55 Roman" w:hAnsi="Avenir LT Std 55 Roman"/>
          <w:noProof/>
          <w:sz w:val="20"/>
          <w:lang w:eastAsia="es-MX"/>
        </w:rPr>
        <w:lastRenderedPageBreak/>
        <w:t>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lastRenderedPageBreak/>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26310">
        <w:rPr>
          <w:rFonts w:ascii="Avenir LT Std 55 Roman" w:hAnsi="Avenir LT Std 55 Roman"/>
          <w:noProof/>
          <w:color w:val="000000" w:themeColor="text1"/>
          <w:sz w:val="20"/>
          <w:lang w:eastAsia="es-MX"/>
        </w:rPr>
        <w:t>09 de Marzo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326310">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647CC" w:rsidRPr="00CA196B" w:rsidRDefault="003647CC" w:rsidP="003647CC">
      <w:pPr>
        <w:spacing w:line="264" w:lineRule="auto"/>
        <w:rPr>
          <w:rFonts w:ascii="Avenir LT Std 55 Roman" w:hAnsi="Avenir LT Std 55 Roman"/>
          <w:noProof/>
          <w:color w:val="000000" w:themeColor="text1"/>
          <w:sz w:val="20"/>
          <w:szCs w:val="20"/>
          <w:lang w:val="es-MX" w:eastAsia="es-MX"/>
        </w:rPr>
      </w:pPr>
    </w:p>
    <w:p w:rsidR="003647CC" w:rsidRPr="00CA196B" w:rsidRDefault="003647CC" w:rsidP="003647CC">
      <w:pPr>
        <w:spacing w:line="264" w:lineRule="auto"/>
        <w:rPr>
          <w:rFonts w:ascii="Avenir LT Std 55 Roman" w:hAnsi="Avenir LT Std 55 Roman"/>
          <w:noProof/>
          <w:color w:val="000000" w:themeColor="text1"/>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CA196B" w:rsidTr="00F77FBE">
        <w:trPr>
          <w:trHeight w:val="567"/>
          <w:jc w:val="center"/>
        </w:trPr>
        <w:tc>
          <w:tcPr>
            <w:tcW w:w="920"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i/>
                <w:color w:val="000000" w:themeColor="text1"/>
                <w:sz w:val="18"/>
                <w:szCs w:val="18"/>
              </w:rPr>
            </w:pPr>
            <w:r w:rsidRPr="00CA196B">
              <w:rPr>
                <w:rFonts w:ascii="Avenir LT Std 55 Roman" w:hAnsi="Avenir LT Std 55 Roman" w:cs="Arial"/>
                <w:b/>
                <w:color w:val="000000" w:themeColor="text1"/>
                <w:sz w:val="18"/>
                <w:szCs w:val="18"/>
              </w:rPr>
              <w:t>PARTIDA</w:t>
            </w:r>
          </w:p>
        </w:tc>
        <w:tc>
          <w:tcPr>
            <w:tcW w:w="1125"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i/>
                <w:color w:val="000000" w:themeColor="text1"/>
                <w:sz w:val="18"/>
                <w:szCs w:val="18"/>
              </w:rPr>
            </w:pPr>
            <w:r w:rsidRPr="00CA196B">
              <w:rPr>
                <w:rFonts w:ascii="Avenir LT Std 55 Roman" w:hAnsi="Avenir LT Std 55 Roman" w:cs="Arial"/>
                <w:b/>
                <w:color w:val="000000" w:themeColor="text1"/>
                <w:sz w:val="18"/>
                <w:szCs w:val="18"/>
              </w:rPr>
              <w:t>CANTIDAD</w:t>
            </w:r>
          </w:p>
        </w:tc>
        <w:tc>
          <w:tcPr>
            <w:tcW w:w="1069"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b/>
                <w:i/>
                <w:color w:val="000000" w:themeColor="text1"/>
                <w:sz w:val="18"/>
                <w:szCs w:val="18"/>
              </w:rPr>
            </w:pPr>
            <w:r w:rsidRPr="00CA196B">
              <w:rPr>
                <w:rFonts w:ascii="Avenir LT Std 55 Roman" w:hAnsi="Avenir LT Std 55 Roman" w:cs="Arial"/>
                <w:b/>
                <w:color w:val="000000" w:themeColor="text1"/>
                <w:sz w:val="18"/>
                <w:szCs w:val="18"/>
              </w:rPr>
              <w:t>UNIDAD</w:t>
            </w:r>
          </w:p>
        </w:tc>
        <w:tc>
          <w:tcPr>
            <w:tcW w:w="5316"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color w:val="000000" w:themeColor="text1"/>
                <w:sz w:val="18"/>
                <w:szCs w:val="18"/>
              </w:rPr>
            </w:pPr>
            <w:r w:rsidRPr="00CA196B">
              <w:rPr>
                <w:rFonts w:ascii="Avenir LT Std 55 Roman" w:hAnsi="Avenir LT Std 55 Roman" w:cs="Arial"/>
                <w:b/>
                <w:color w:val="000000" w:themeColor="text1"/>
                <w:sz w:val="18"/>
                <w:szCs w:val="18"/>
              </w:rPr>
              <w:t xml:space="preserve">ESPECIFICACIONES </w:t>
            </w:r>
          </w:p>
        </w:tc>
      </w:tr>
      <w:tr w:rsidR="003647CC" w:rsidRPr="00CA196B" w:rsidTr="00F77FBE">
        <w:trPr>
          <w:jc w:val="center"/>
        </w:trPr>
        <w:tc>
          <w:tcPr>
            <w:tcW w:w="920" w:type="dxa"/>
            <w:vAlign w:val="center"/>
            <w:hideMark/>
          </w:tcPr>
          <w:p w:rsidR="003647CC" w:rsidRPr="00CA196B" w:rsidRDefault="00CA196B" w:rsidP="00F77FBE">
            <w:pPr>
              <w:spacing w:line="264" w:lineRule="auto"/>
              <w:jc w:val="center"/>
              <w:rPr>
                <w:rFonts w:ascii="Avenir LT Std 55 Roman" w:hAnsi="Avenir LT Std 55 Roman" w:cs="Arial"/>
                <w:b/>
                <w:bCs/>
                <w:color w:val="000000" w:themeColor="text1"/>
                <w:kern w:val="32"/>
                <w:sz w:val="22"/>
                <w:szCs w:val="14"/>
              </w:rPr>
            </w:pPr>
            <w:r w:rsidRPr="00CA196B">
              <w:rPr>
                <w:rFonts w:ascii="Avenir LT Std 55 Roman" w:hAnsi="Avenir LT Std 55 Roman" w:cs="Arial"/>
                <w:b/>
                <w:bCs/>
                <w:color w:val="000000" w:themeColor="text1"/>
                <w:kern w:val="32"/>
                <w:sz w:val="22"/>
                <w:szCs w:val="14"/>
              </w:rPr>
              <w:t>1</w:t>
            </w:r>
          </w:p>
        </w:tc>
        <w:tc>
          <w:tcPr>
            <w:tcW w:w="1125" w:type="dxa"/>
            <w:vAlign w:val="center"/>
            <w:hideMark/>
          </w:tcPr>
          <w:p w:rsidR="003647CC" w:rsidRPr="00CA196B" w:rsidRDefault="00CA196B" w:rsidP="00F77FBE">
            <w:pPr>
              <w:spacing w:line="264" w:lineRule="auto"/>
              <w:jc w:val="center"/>
              <w:rPr>
                <w:rFonts w:ascii="Avenir LT Std 55 Roman" w:hAnsi="Avenir LT Std 55 Roman" w:cs="Arial"/>
                <w:b/>
                <w:bCs/>
                <w:color w:val="000000" w:themeColor="text1"/>
                <w:kern w:val="32"/>
                <w:sz w:val="22"/>
                <w:szCs w:val="14"/>
              </w:rPr>
            </w:pPr>
            <w:r w:rsidRPr="00CA196B">
              <w:rPr>
                <w:rFonts w:ascii="Avenir LT Std 55 Roman" w:hAnsi="Avenir LT Std 55 Roman" w:cs="Arial"/>
                <w:b/>
                <w:bCs/>
                <w:color w:val="000000" w:themeColor="text1"/>
                <w:kern w:val="32"/>
                <w:sz w:val="22"/>
                <w:szCs w:val="14"/>
              </w:rPr>
              <w:t xml:space="preserve">24 000 </w:t>
            </w:r>
          </w:p>
        </w:tc>
        <w:tc>
          <w:tcPr>
            <w:tcW w:w="1069" w:type="dxa"/>
            <w:vAlign w:val="center"/>
            <w:hideMark/>
          </w:tcPr>
          <w:p w:rsidR="003647CC" w:rsidRPr="00CA196B" w:rsidRDefault="00CA196B" w:rsidP="00F77FBE">
            <w:pPr>
              <w:spacing w:line="264" w:lineRule="auto"/>
              <w:jc w:val="center"/>
              <w:rPr>
                <w:rFonts w:ascii="Avenir LT Std 55 Roman" w:hAnsi="Avenir LT Std 55 Roman" w:cs="Arial"/>
                <w:b/>
                <w:bCs/>
                <w:color w:val="000000" w:themeColor="text1"/>
                <w:kern w:val="32"/>
                <w:sz w:val="22"/>
                <w:szCs w:val="14"/>
              </w:rPr>
            </w:pPr>
            <w:r w:rsidRPr="00CA196B">
              <w:rPr>
                <w:rFonts w:ascii="Avenir LT Std 55 Roman" w:hAnsi="Avenir LT Std 55 Roman" w:cs="Arial"/>
                <w:b/>
                <w:bCs/>
                <w:color w:val="000000" w:themeColor="text1"/>
                <w:kern w:val="32"/>
                <w:sz w:val="22"/>
                <w:szCs w:val="14"/>
              </w:rPr>
              <w:t>kg</w:t>
            </w:r>
          </w:p>
        </w:tc>
        <w:tc>
          <w:tcPr>
            <w:tcW w:w="5316" w:type="dxa"/>
            <w:vAlign w:val="center"/>
            <w:hideMark/>
          </w:tcPr>
          <w:p w:rsidR="003647CC" w:rsidRPr="00CA196B" w:rsidRDefault="00CA196B" w:rsidP="00F77FBE">
            <w:pPr>
              <w:spacing w:line="264" w:lineRule="auto"/>
              <w:jc w:val="center"/>
              <w:rPr>
                <w:rFonts w:ascii="Avenir LT Std 55 Roman" w:hAnsi="Avenir LT Std 55 Roman" w:cs="Arial"/>
                <w:b/>
                <w:color w:val="000000" w:themeColor="text1"/>
                <w:sz w:val="22"/>
                <w:szCs w:val="12"/>
              </w:rPr>
            </w:pPr>
            <w:r w:rsidRPr="00CA196B">
              <w:rPr>
                <w:rFonts w:ascii="Arial" w:hAnsi="Arial" w:cs="Arial"/>
                <w:b/>
                <w:color w:val="000000" w:themeColor="text1"/>
                <w:sz w:val="20"/>
                <w:szCs w:val="20"/>
                <w:lang w:val="es-MX"/>
              </w:rPr>
              <w:t>POLIMERO CATIONICO SOLIDO GRANULAR DE ACUERDO A DETALLE:</w:t>
            </w:r>
          </w:p>
        </w:tc>
      </w:tr>
    </w:tbl>
    <w:p w:rsidR="003647CC" w:rsidRPr="00CA196B" w:rsidRDefault="003647CC" w:rsidP="003647CC">
      <w:pPr>
        <w:spacing w:line="264" w:lineRule="auto"/>
        <w:rPr>
          <w:rFonts w:ascii="Avenir LT Std 55 Roman" w:hAnsi="Avenir LT Std 55 Roman"/>
          <w:noProof/>
          <w:color w:val="000000" w:themeColor="text1"/>
          <w:sz w:val="20"/>
          <w:szCs w:val="20"/>
          <w:lang w:eastAsia="es-MX"/>
        </w:rPr>
      </w:pPr>
    </w:p>
    <w:p w:rsidR="00CA196B" w:rsidRPr="00CA196B" w:rsidRDefault="00CA196B" w:rsidP="00CA196B">
      <w:pPr>
        <w:spacing w:after="120"/>
        <w:rPr>
          <w:rFonts w:ascii="Arial" w:hAnsi="Arial" w:cs="Arial"/>
          <w:b/>
          <w:color w:val="000000" w:themeColor="text1"/>
          <w:sz w:val="20"/>
          <w:szCs w:val="20"/>
        </w:rPr>
      </w:pPr>
      <w:r w:rsidRPr="00CA196B">
        <w:rPr>
          <w:rFonts w:ascii="Arial" w:hAnsi="Arial" w:cs="Arial"/>
          <w:b/>
          <w:color w:val="000000" w:themeColor="text1"/>
          <w:sz w:val="20"/>
          <w:szCs w:val="20"/>
        </w:rPr>
        <w:t>PRUEBA DE JARRAS:</w:t>
      </w:r>
    </w:p>
    <w:p w:rsidR="00CA196B" w:rsidRPr="00CA196B" w:rsidRDefault="00CA196B" w:rsidP="00CA196B">
      <w:pPr>
        <w:spacing w:after="120"/>
        <w:rPr>
          <w:rFonts w:ascii="Arial" w:hAnsi="Arial" w:cs="Arial"/>
          <w:b/>
          <w:color w:val="000000" w:themeColor="text1"/>
          <w:sz w:val="20"/>
          <w:szCs w:val="20"/>
        </w:rPr>
      </w:pP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 xml:space="preserve">Dicha prueba se realizará el día </w:t>
      </w:r>
      <w:r w:rsidR="0008269A">
        <w:rPr>
          <w:rFonts w:ascii="Arial" w:hAnsi="Arial" w:cs="Arial"/>
          <w:color w:val="000000" w:themeColor="text1"/>
          <w:sz w:val="20"/>
          <w:szCs w:val="20"/>
        </w:rPr>
        <w:t>martes 20 de marzo del 2018</w:t>
      </w:r>
      <w:r w:rsidRPr="00CA196B">
        <w:rPr>
          <w:rFonts w:ascii="Arial" w:hAnsi="Arial" w:cs="Arial"/>
          <w:color w:val="000000" w:themeColor="text1"/>
          <w:sz w:val="20"/>
          <w:szCs w:val="20"/>
        </w:rPr>
        <w:t xml:space="preserve"> a las 10:00 horas.</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El “PARTICIPANTE” deberá llevar el equipo necesario así como muestras del Producto con el cual se pretende participar.</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 xml:space="preserve">El Departamento de Saneamiento y Laboratorio, apoyaran en dicha prueba y validarán el resultado de la misma. </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 xml:space="preserve"> </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b/>
          <w:color w:val="000000" w:themeColor="text1"/>
          <w:sz w:val="20"/>
          <w:szCs w:val="20"/>
        </w:rPr>
        <w:t>DESCRIPCION:</w:t>
      </w:r>
      <w:r w:rsidRPr="00CA196B">
        <w:rPr>
          <w:rFonts w:ascii="Arial" w:hAnsi="Arial" w:cs="Arial"/>
          <w:color w:val="000000" w:themeColor="text1"/>
          <w:sz w:val="20"/>
          <w:szCs w:val="20"/>
        </w:rPr>
        <w:t xml:space="preserve"> Polímero Catiónico Solido Granular (Poliacrilamida)</w:t>
      </w:r>
    </w:p>
    <w:p w:rsidR="00CA196B" w:rsidRPr="00CA196B" w:rsidRDefault="00CA196B" w:rsidP="00CA196B">
      <w:pPr>
        <w:spacing w:after="120"/>
        <w:rPr>
          <w:rFonts w:ascii="Arial" w:hAnsi="Arial" w:cs="Arial"/>
          <w:color w:val="000000" w:themeColor="text1"/>
          <w:sz w:val="20"/>
          <w:szCs w:val="20"/>
        </w:rPr>
      </w:pP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Para el desaguado de lodos digeridos de proceso aerobio y anaerobio de la planta de tratamiento de aguas residuales norte II</w:t>
      </w:r>
    </w:p>
    <w:p w:rsidR="00CA196B" w:rsidRPr="00CA196B" w:rsidRDefault="00CA196B" w:rsidP="00CA196B">
      <w:pPr>
        <w:spacing w:after="120"/>
        <w:rPr>
          <w:rFonts w:ascii="Arial" w:hAnsi="Arial" w:cs="Arial"/>
          <w:color w:val="000000" w:themeColor="text1"/>
          <w:sz w:val="20"/>
          <w:szCs w:val="20"/>
        </w:rPr>
      </w:pP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Descripción:</w:t>
      </w: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t>Poliacrilamida</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Apariencia:</w:t>
      </w: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t>Polvo Granular</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Carga relativa:</w:t>
      </w:r>
      <w:r w:rsidRPr="00CA196B">
        <w:rPr>
          <w:rFonts w:ascii="Arial" w:hAnsi="Arial" w:cs="Arial"/>
          <w:color w:val="000000" w:themeColor="text1"/>
          <w:sz w:val="20"/>
          <w:szCs w:val="20"/>
        </w:rPr>
        <w:tab/>
      </w:r>
      <w:r w:rsidRPr="00CA196B">
        <w:rPr>
          <w:rFonts w:ascii="Arial" w:hAnsi="Arial" w:cs="Arial"/>
          <w:color w:val="000000" w:themeColor="text1"/>
          <w:sz w:val="20"/>
          <w:szCs w:val="20"/>
        </w:rPr>
        <w:tab/>
        <w:t>Muy Alta</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Peso Molecular:</w:t>
      </w:r>
      <w:r w:rsidRPr="00CA196B">
        <w:rPr>
          <w:rFonts w:ascii="Arial" w:hAnsi="Arial" w:cs="Arial"/>
          <w:color w:val="000000" w:themeColor="text1"/>
          <w:sz w:val="20"/>
          <w:szCs w:val="20"/>
        </w:rPr>
        <w:tab/>
      </w:r>
      <w:r w:rsidRPr="00CA196B">
        <w:rPr>
          <w:rFonts w:ascii="Arial" w:hAnsi="Arial" w:cs="Arial"/>
          <w:color w:val="000000" w:themeColor="text1"/>
          <w:sz w:val="20"/>
          <w:szCs w:val="20"/>
        </w:rPr>
        <w:tab/>
        <w:t>Muy Alto</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Densidad a Granel:</w:t>
      </w:r>
      <w:r w:rsidRPr="00CA196B">
        <w:rPr>
          <w:rFonts w:ascii="Arial" w:hAnsi="Arial" w:cs="Arial"/>
          <w:color w:val="000000" w:themeColor="text1"/>
          <w:sz w:val="20"/>
          <w:szCs w:val="20"/>
        </w:rPr>
        <w:tab/>
        <w:t>60 – 80 Kg.</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pH Solución al 0.5%</w:t>
      </w:r>
      <w:r w:rsidRPr="00CA196B">
        <w:rPr>
          <w:rFonts w:ascii="Arial" w:hAnsi="Arial" w:cs="Arial"/>
          <w:color w:val="000000" w:themeColor="text1"/>
          <w:sz w:val="20"/>
          <w:szCs w:val="20"/>
        </w:rPr>
        <w:tab/>
        <w:t>6.0 – 9.0</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Viscosidad:</w:t>
      </w: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t>0.10% - 35</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t>0.25% - 160</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t>0.50% - 300</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Presentación:</w:t>
      </w:r>
      <w:r w:rsidRPr="00CA196B">
        <w:rPr>
          <w:rFonts w:ascii="Arial" w:hAnsi="Arial" w:cs="Arial"/>
          <w:color w:val="000000" w:themeColor="text1"/>
          <w:sz w:val="20"/>
          <w:szCs w:val="20"/>
        </w:rPr>
        <w:tab/>
      </w:r>
      <w:r w:rsidRPr="00CA196B">
        <w:rPr>
          <w:rFonts w:ascii="Arial" w:hAnsi="Arial" w:cs="Arial"/>
          <w:color w:val="000000" w:themeColor="text1"/>
          <w:sz w:val="20"/>
          <w:szCs w:val="20"/>
        </w:rPr>
        <w:tab/>
        <w:t>Bultos de 25 Kg</w:t>
      </w:r>
    </w:p>
    <w:p w:rsidR="00CA196B" w:rsidRPr="00CA196B" w:rsidRDefault="00CA196B" w:rsidP="00CA196B">
      <w:pPr>
        <w:spacing w:after="120"/>
        <w:rPr>
          <w:rFonts w:ascii="Arial" w:hAnsi="Arial" w:cs="Arial"/>
          <w:color w:val="000000" w:themeColor="text1"/>
          <w:sz w:val="20"/>
          <w:szCs w:val="20"/>
        </w:rPr>
      </w:pPr>
      <w:r w:rsidRPr="00CA196B">
        <w:rPr>
          <w:rFonts w:ascii="Arial" w:hAnsi="Arial" w:cs="Arial"/>
          <w:color w:val="000000" w:themeColor="text1"/>
          <w:sz w:val="20"/>
          <w:szCs w:val="20"/>
        </w:rPr>
        <w:t>Vida Útil:</w:t>
      </w:r>
      <w:r w:rsidRPr="00CA196B">
        <w:rPr>
          <w:rFonts w:ascii="Arial" w:hAnsi="Arial" w:cs="Arial"/>
          <w:color w:val="000000" w:themeColor="text1"/>
          <w:sz w:val="20"/>
          <w:szCs w:val="20"/>
        </w:rPr>
        <w:tab/>
      </w:r>
      <w:r w:rsidRPr="00CA196B">
        <w:rPr>
          <w:rFonts w:ascii="Arial" w:hAnsi="Arial" w:cs="Arial"/>
          <w:color w:val="000000" w:themeColor="text1"/>
          <w:sz w:val="20"/>
          <w:szCs w:val="20"/>
        </w:rPr>
        <w:tab/>
      </w:r>
      <w:r w:rsidRPr="00CA196B">
        <w:rPr>
          <w:rFonts w:ascii="Arial" w:hAnsi="Arial" w:cs="Arial"/>
          <w:color w:val="000000" w:themeColor="text1"/>
          <w:sz w:val="20"/>
          <w:szCs w:val="20"/>
        </w:rPr>
        <w:tab/>
        <w:t>24 Meses</w:t>
      </w:r>
    </w:p>
    <w:p w:rsidR="00CA196B" w:rsidRPr="00CA196B" w:rsidRDefault="00CA196B" w:rsidP="00CA196B">
      <w:pPr>
        <w:spacing w:after="120"/>
        <w:rPr>
          <w:rFonts w:ascii="Arial" w:hAnsi="Arial" w:cs="Arial"/>
          <w:color w:val="000000" w:themeColor="text1"/>
          <w:sz w:val="20"/>
          <w:szCs w:val="20"/>
        </w:rPr>
      </w:pPr>
    </w:p>
    <w:p w:rsidR="00CA196B" w:rsidRPr="00CA196B" w:rsidRDefault="00CA196B" w:rsidP="00CA196B">
      <w:pPr>
        <w:rPr>
          <w:color w:val="000000" w:themeColor="text1"/>
          <w:lang w:val="es-MX"/>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08269A" w:rsidRPr="00CA196B" w:rsidRDefault="0008269A" w:rsidP="0008269A">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08269A">
        <w:rPr>
          <w:rFonts w:ascii="Avenir LT Std 55 Roman" w:hAnsi="Avenir LT Std 55 Roman"/>
          <w:color w:val="000000" w:themeColor="text1"/>
          <w:sz w:val="20"/>
          <w:szCs w:val="20"/>
        </w:rPr>
        <w:t>13 de Marzo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08269A" w:rsidRPr="00CA196B" w:rsidRDefault="0008269A" w:rsidP="0008269A">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08269A" w:rsidRPr="00CA196B" w:rsidRDefault="0008269A" w:rsidP="0008269A">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08269A" w:rsidRPr="00CA196B" w:rsidRDefault="0008269A" w:rsidP="0008269A">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04/18342/2017,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08269A" w:rsidRPr="00CA196B" w:rsidRDefault="0008269A" w:rsidP="0008269A">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08269A" w:rsidRPr="00CA196B" w:rsidRDefault="0008269A" w:rsidP="0008269A">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08269A" w:rsidRPr="00CA196B" w:rsidRDefault="0008269A" w:rsidP="0008269A">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10/75733/2018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SUMINISTRO DE 24 000 KG DE POLIMERO CATIONICO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99" w:rsidRDefault="008F7699">
      <w:r>
        <w:separator/>
      </w:r>
    </w:p>
  </w:endnote>
  <w:endnote w:type="continuationSeparator" w:id="0">
    <w:p w:rsidR="008F7699" w:rsidRDefault="008F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26310" w:rsidRDefault="0032631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52E53">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326310" w:rsidRDefault="003263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99" w:rsidRDefault="008F7699">
      <w:r>
        <w:separator/>
      </w:r>
    </w:p>
  </w:footnote>
  <w:footnote w:type="continuationSeparator" w:id="0">
    <w:p w:rsidR="008F7699" w:rsidRDefault="008F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10" w:rsidRDefault="00326310"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8269A"/>
    <w:rsid w:val="000A6B09"/>
    <w:rsid w:val="00326310"/>
    <w:rsid w:val="003647CC"/>
    <w:rsid w:val="00550033"/>
    <w:rsid w:val="006552C4"/>
    <w:rsid w:val="00752E53"/>
    <w:rsid w:val="007803B0"/>
    <w:rsid w:val="008F7699"/>
    <w:rsid w:val="009C19F2"/>
    <w:rsid w:val="009D39B2"/>
    <w:rsid w:val="00A70972"/>
    <w:rsid w:val="00A769B2"/>
    <w:rsid w:val="00B36E17"/>
    <w:rsid w:val="00C8689E"/>
    <w:rsid w:val="00CA196B"/>
    <w:rsid w:val="00E0787B"/>
    <w:rsid w:val="00E359E8"/>
    <w:rsid w:val="00E52665"/>
    <w:rsid w:val="00E83164"/>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15095</Words>
  <Characters>83027</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2018-03-12T14:25:00Z</cp:lastPrinted>
  <dcterms:created xsi:type="dcterms:W3CDTF">2018-03-07T15:23:00Z</dcterms:created>
  <dcterms:modified xsi:type="dcterms:W3CDTF">2018-03-12T14:25:00Z</dcterms:modified>
</cp:coreProperties>
</file>